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265BD5">
        <w:rPr>
          <w:b/>
          <w:lang w:val="lt-LT"/>
        </w:rPr>
        <w:t>4</w:t>
      </w:r>
      <w:r w:rsidR="00F372C1">
        <w:rPr>
          <w:b/>
          <w:lang w:val="lt-LT"/>
        </w:rPr>
        <w:t xml:space="preserve"> m. </w:t>
      </w:r>
      <w:r w:rsidR="00265BD5">
        <w:rPr>
          <w:b/>
          <w:lang w:val="lt-LT"/>
        </w:rPr>
        <w:t>birželio</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A70431">
            <w:pPr>
              <w:jc w:val="center"/>
              <w:rPr>
                <w:b/>
                <w:sz w:val="20"/>
              </w:rPr>
            </w:pPr>
            <w:r>
              <w:rPr>
                <w:b/>
                <w:sz w:val="20"/>
              </w:rPr>
              <w:t>201</w:t>
            </w:r>
            <w:r w:rsidR="0071368B">
              <w:rPr>
                <w:b/>
                <w:sz w:val="20"/>
              </w:rPr>
              <w:t>4</w:t>
            </w:r>
            <w:r w:rsidR="001015BE">
              <w:rPr>
                <w:b/>
                <w:sz w:val="20"/>
              </w:rPr>
              <w:t xml:space="preserve"> M. </w:t>
            </w:r>
            <w:r w:rsidR="00A70431">
              <w:rPr>
                <w:b/>
                <w:sz w:val="20"/>
              </w:rPr>
              <w:t>LIEPA</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70431" w:rsidP="00265BD5">
            <w:pPr>
              <w:jc w:val="center"/>
              <w:rPr>
                <w:sz w:val="20"/>
              </w:rPr>
            </w:pPr>
            <w:r>
              <w:rPr>
                <w:sz w:val="20"/>
              </w:rPr>
              <w:t>155,2</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70431" w:rsidP="00265BD5">
            <w:pPr>
              <w:jc w:val="center"/>
              <w:rPr>
                <w:sz w:val="20"/>
              </w:rPr>
            </w:pPr>
            <w:r>
              <w:rPr>
                <w:sz w:val="20"/>
              </w:rPr>
              <w:t>98,4</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70431" w:rsidP="00790913">
            <w:pPr>
              <w:jc w:val="center"/>
              <w:rPr>
                <w:sz w:val="20"/>
              </w:rPr>
            </w:pPr>
            <w:r>
              <w:rPr>
                <w:sz w:val="20"/>
              </w:rPr>
              <w:t>91,8</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70431" w:rsidP="00A70431">
            <w:pPr>
              <w:jc w:val="center"/>
              <w:rPr>
                <w:sz w:val="20"/>
              </w:rPr>
            </w:pPr>
            <w:r>
              <w:rPr>
                <w:sz w:val="20"/>
              </w:rPr>
              <w:t>222</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70431" w:rsidP="00790913">
            <w:pPr>
              <w:jc w:val="center"/>
              <w:rPr>
                <w:sz w:val="20"/>
              </w:rPr>
            </w:pPr>
            <w:r>
              <w:rPr>
                <w:sz w:val="20"/>
              </w:rPr>
              <w:t>35</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D4BDA" w:rsidP="0071368B">
            <w:pPr>
              <w:jc w:val="center"/>
              <w:rPr>
                <w:sz w:val="20"/>
              </w:rPr>
            </w:pPr>
            <w:r>
              <w:rPr>
                <w:sz w:val="20"/>
              </w:rPr>
              <w:t>1</w:t>
            </w:r>
            <w:r w:rsidR="00A70431">
              <w:rPr>
                <w:sz w:val="20"/>
              </w:rPr>
              <w:t>32,6</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D4BDA" w:rsidP="00A70431">
            <w:pPr>
              <w:jc w:val="center"/>
              <w:rPr>
                <w:sz w:val="20"/>
              </w:rPr>
            </w:pPr>
            <w:r>
              <w:rPr>
                <w:sz w:val="20"/>
              </w:rPr>
              <w:t>1</w:t>
            </w:r>
            <w:r w:rsidR="00A70431">
              <w:rPr>
                <w:sz w:val="20"/>
              </w:rPr>
              <w:t>38,9</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70431" w:rsidP="00790913">
            <w:pPr>
              <w:jc w:val="center"/>
              <w:rPr>
                <w:sz w:val="20"/>
              </w:rPr>
            </w:pPr>
            <w:r>
              <w:rPr>
                <w:sz w:val="20"/>
              </w:rPr>
              <w:t>137,9</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70431" w:rsidP="00790913">
            <w:pPr>
              <w:jc w:val="center"/>
              <w:rPr>
                <w:sz w:val="20"/>
              </w:rPr>
            </w:pPr>
            <w:r>
              <w:rPr>
                <w:sz w:val="20"/>
              </w:rPr>
              <w:t>83</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70431" w:rsidP="00790913">
            <w:pPr>
              <w:jc w:val="center"/>
              <w:rPr>
                <w:sz w:val="20"/>
              </w:rPr>
            </w:pPr>
            <w:r>
              <w:rPr>
                <w:sz w:val="20"/>
              </w:rPr>
              <w:t>13</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w:t>
            </w:r>
            <w:r w:rsidR="00A70431">
              <w:rPr>
                <w:sz w:val="20"/>
              </w:rPr>
              <w:t>31,1</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70431" w:rsidP="00790913">
            <w:pPr>
              <w:jc w:val="center"/>
              <w:rPr>
                <w:sz w:val="20"/>
              </w:rPr>
            </w:pPr>
            <w:r>
              <w:rPr>
                <w:sz w:val="20"/>
              </w:rPr>
              <w:t>120,5</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w:t>
            </w:r>
            <w:r w:rsidR="00A70431">
              <w:rPr>
                <w:sz w:val="20"/>
              </w:rPr>
              <w:t>36,3</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70431" w:rsidP="00790913">
            <w:pPr>
              <w:jc w:val="center"/>
              <w:rPr>
                <w:sz w:val="20"/>
              </w:rPr>
            </w:pPr>
            <w:r>
              <w:rPr>
                <w:sz w:val="20"/>
              </w:rPr>
              <w:t>92</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265BD5" w:rsidP="00790913">
            <w:pPr>
              <w:jc w:val="center"/>
              <w:rPr>
                <w:sz w:val="20"/>
              </w:rPr>
            </w:pPr>
            <w:r>
              <w:rPr>
                <w:sz w:val="20"/>
              </w:rPr>
              <w:t>1</w:t>
            </w:r>
            <w:r w:rsidR="00A70431">
              <w:rPr>
                <w:sz w:val="20"/>
              </w:rPr>
              <w:t>4</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D4BDA" w:rsidP="0071368B">
            <w:pPr>
              <w:jc w:val="center"/>
              <w:rPr>
                <w:sz w:val="20"/>
              </w:rPr>
            </w:pPr>
            <w:r>
              <w:rPr>
                <w:sz w:val="20"/>
              </w:rPr>
              <w:t>1</w:t>
            </w:r>
            <w:r w:rsidR="00A70431">
              <w:rPr>
                <w:sz w:val="20"/>
              </w:rPr>
              <w:t>31,9</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A70431" w:rsidP="00790913">
            <w:pPr>
              <w:jc w:val="center"/>
              <w:rPr>
                <w:sz w:val="20"/>
              </w:rPr>
            </w:pPr>
            <w:r>
              <w:rPr>
                <w:sz w:val="20"/>
              </w:rPr>
              <w:t>203,5</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20650D" w:rsidP="0071368B">
            <w:pPr>
              <w:jc w:val="center"/>
              <w:rPr>
                <w:sz w:val="20"/>
              </w:rPr>
            </w:pPr>
            <w:r>
              <w:rPr>
                <w:sz w:val="20"/>
              </w:rPr>
              <w:t>1</w:t>
            </w:r>
            <w:r w:rsidR="00A70431">
              <w:rPr>
                <w:sz w:val="20"/>
              </w:rPr>
              <w:t>81,4</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A70431" w:rsidP="00A70431">
            <w:pPr>
              <w:jc w:val="center"/>
              <w:rPr>
                <w:sz w:val="20"/>
              </w:rPr>
            </w:pPr>
            <w:r>
              <w:rPr>
                <w:sz w:val="20"/>
              </w:rPr>
              <w:t>238</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A70431" w:rsidP="00790913">
            <w:pPr>
              <w:jc w:val="center"/>
              <w:rPr>
                <w:sz w:val="20"/>
              </w:rPr>
            </w:pPr>
            <w:r>
              <w:rPr>
                <w:sz w:val="20"/>
              </w:rPr>
              <w:t>38</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w:t>
      </w:r>
      <w:proofErr w:type="gramStart"/>
      <w:r w:rsidRPr="004F6E45">
        <w:rPr>
          <w:sz w:val="20"/>
        </w:rPr>
        <w:t xml:space="preserve">-  </w:t>
      </w:r>
      <w:r w:rsidRPr="00197BB9">
        <w:rPr>
          <w:sz w:val="20"/>
          <w:lang w:val="lt-LT"/>
        </w:rPr>
        <w:t>daugiabučiai</w:t>
      </w:r>
      <w:proofErr w:type="gramEnd"/>
      <w:r w:rsidRPr="00197BB9">
        <w:rPr>
          <w:sz w:val="20"/>
          <w:lang w:val="lt-LT"/>
        </w:rPr>
        <w:t xml:space="preserve">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0172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296"/>
  <w:hyphenationZone w:val="396"/>
  <w:characterSpacingControl w:val="doNotCompress"/>
  <w:compat/>
  <w:rsids>
    <w:rsidRoot w:val="00197BB9"/>
    <w:rsid w:val="001015BE"/>
    <w:rsid w:val="00197481"/>
    <w:rsid w:val="00197BB9"/>
    <w:rsid w:val="0020650D"/>
    <w:rsid w:val="00222EF5"/>
    <w:rsid w:val="00233FB6"/>
    <w:rsid w:val="00265AB1"/>
    <w:rsid w:val="00265BD5"/>
    <w:rsid w:val="002B1471"/>
    <w:rsid w:val="0034521D"/>
    <w:rsid w:val="003F6998"/>
    <w:rsid w:val="0041518B"/>
    <w:rsid w:val="00457775"/>
    <w:rsid w:val="00470454"/>
    <w:rsid w:val="004922B0"/>
    <w:rsid w:val="00494D50"/>
    <w:rsid w:val="005A07A1"/>
    <w:rsid w:val="005B1C21"/>
    <w:rsid w:val="00601723"/>
    <w:rsid w:val="00671ACC"/>
    <w:rsid w:val="00686E9C"/>
    <w:rsid w:val="006D164A"/>
    <w:rsid w:val="006F550B"/>
    <w:rsid w:val="0071368B"/>
    <w:rsid w:val="00790913"/>
    <w:rsid w:val="007D4BDA"/>
    <w:rsid w:val="00827867"/>
    <w:rsid w:val="00860D6A"/>
    <w:rsid w:val="009544BB"/>
    <w:rsid w:val="009548B0"/>
    <w:rsid w:val="00990DB5"/>
    <w:rsid w:val="00991912"/>
    <w:rsid w:val="009C3964"/>
    <w:rsid w:val="009C5BD3"/>
    <w:rsid w:val="009F59A5"/>
    <w:rsid w:val="00A70431"/>
    <w:rsid w:val="00B032FD"/>
    <w:rsid w:val="00B60F93"/>
    <w:rsid w:val="00B73A93"/>
    <w:rsid w:val="00B75D36"/>
    <w:rsid w:val="00C67DE3"/>
    <w:rsid w:val="00CB6F64"/>
    <w:rsid w:val="00CB70B8"/>
    <w:rsid w:val="00CE0EF0"/>
    <w:rsid w:val="00D3182F"/>
    <w:rsid w:val="00D512DF"/>
    <w:rsid w:val="00D67D86"/>
    <w:rsid w:val="00D702CA"/>
    <w:rsid w:val="00DE70DF"/>
    <w:rsid w:val="00E159BF"/>
    <w:rsid w:val="00E57DD8"/>
    <w:rsid w:val="00E95B0B"/>
    <w:rsid w:val="00ED3ED4"/>
    <w:rsid w:val="00F12779"/>
    <w:rsid w:val="00F372C1"/>
    <w:rsid w:val="00FD085D"/>
    <w:rsid w:val="00FE54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1443</Words>
  <Characters>824</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Nerijaus</cp:lastModifiedBy>
  <cp:revision>5</cp:revision>
  <dcterms:created xsi:type="dcterms:W3CDTF">2014-07-08T12:32:00Z</dcterms:created>
  <dcterms:modified xsi:type="dcterms:W3CDTF">2014-08-26T10:20:00Z</dcterms:modified>
</cp:coreProperties>
</file>